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420</w:t>
      </w:r>
    </w:p>
    <w:p>
      <w:r>
        <w:t>Bundesgericht (BGE), 2005-04-27, DE</w:t>
      </w:r>
    </w:p>
    <w:p>
      <w:r>
        <w:rPr>
          <w:b/>
        </w:rPr>
        <w:t xml:space="preserve">Quelle: </w:t>
      </w:r>
      <w:r>
        <w:t>https://mcp.opencaselaw.ch/entscheid/bge_131 II 420</w:t>
      </w:r>
    </w:p>
    <w:p>
      <w:r>
        <w:t>FR: ATF 131 II 420</w:t>
      </w:r>
    </w:p>
    <w:p>
      <w:r>
        <w:t>IT: DTF 131 II 420</w:t>
      </w:r>
    </w:p>
    <w:p>
      <w:pPr>
        <w:pStyle w:val="Heading2"/>
      </w:pPr>
      <w:r>
        <w:t>Regeste</w:t>
      </w:r>
    </w:p>
    <w:p>
      <w:r>
        <w:t>Regeste Art. 2, 18 ff. und 31 EBG, Art. 7 Abs. 2 EntG; bahnbaubedingte Umlegung von im Strassenkörper verlegten Werk- und Versorgungsleitungen, Kostentragung. Sind für den Bau einer Strassenbahn die im Strassenkörper verlegten Werkleitungen umzulegen, so bildet diese Umlegung Bestandteil des Eisenbahn-Projekts, das im eisenbahn- und enteignungsrechtlichen Verfahren gemäss Art. 18 ff. EBG zu genehmigen ist. Somit ist im Plangenehmigungsverfahren gestützt auf die eisenbahn- und enteignungsrechtlichen Vorschriften auch über die Tragung der Kosten für die Umlegung der Leitungen zu entscheiden. Daran ändern die Bestimmungen von Art. 40 EBG, Art. 35 FMG und § 37 des zürcherischen Strassengesetzes, welche andere Beziehungen als jene zwischen dem Bahnunternehmen und den Werkleitungseigentümern regeln, nichts (E. 3). Nach Art. 7 Abs. 2 EntG und Art. 19 EBG sowie allenfalls Art. 31 Abs. 2 EBG trägt die Bahnunternehmung die Kosten für die bahnbaubedingte Neuverlegung von Werkleitungen, soweit mit dieser Massnahme nicht in erster Linie Bedürfnissen Dritter entsprochen wird. Über Art und Umfang der erforderlichen Ersatzvorkehren hat die Plangenehmigungsbehörde zu befinden (E. 4).</w:t>
      </w:r>
    </w:p>
    <w:p>
      <w:pPr>
        <w:pStyle w:val="Heading2"/>
      </w:pPr>
      <w:r>
        <w:t>Erwägungen</w:t>
      </w:r>
    </w:p>
    <w:p>
      <w:r>
        <w:rPr>
          <w:b/>
        </w:rPr>
        <w:t>E. 3</w:t>
      </w:r>
    </w:p>
    <w:p>
      <w:r>
        <w:t>Unbestritten ist im vorliegenden Verfahren, dass es sich beim Bau der Glatttalbahn als Strassenbahn um ein Eisenbahnbau-Vorhaben im Sinne von Art. 18 des Eisenbahngesetzes vom 20. Dezember 1957 (EBG; SR 742.101) handelt, das grundsätzlich dem Bundesrecht untersteht. Es wird auch von keiner Seite in Abrede gestellt, dass die vorgesehene Entfernung der unter dem künftigen Bahntrassee verlaufenden Werkleitungen durch den Bahnbau bedingt ist. Das BAV hat denn auch im eisenbahn- und enteignungsrechtlichen Verfahren die Verlegung der Leitungen als Bestandteil des Bahnprojekts (unter Auflagen) genehmigt. Die Rekurskommission INUM hat hieraus geschlossen, dass sich die Kosten- und Entschädigungsfrage für den fraglichen Projektbestandteil ebenfalls nach eidgenössischem Eisenbahn- und Enteignungsrecht richte. Darin liegt nach Auffassung der Beschwerdeführerin eine Missachtung der Gleichrangigkeit eidgenössischer Eisenbahnhoheit und kantonaler Strassenhoheit sowie ein Verstoss gegen Art. 6 Abs. 2 EBG , gegen § 37 des zürcherischen Strassengesetzes (Gesetz über den Bau und den Unterhalt der öffentlichen Strassen vom 27. September 1981, kStrG; Zürcher Loseblattsammlung 722.1) und BGE 131 II 420 S. 424 gegen Art. 35 des Fernmeldegesetzes vom 30. April 1997 (FMG; SR 784.10). Dieser Betrachtungsweise ist nicht zu folgen.</w:t>
      </w:r>
    </w:p>
    <w:p>
      <w:r>
        <w:rPr>
          <w:b/>
        </w:rPr>
        <w:t>E. 3.1</w:t>
      </w:r>
    </w:p>
    <w:p>
      <w:r>
        <w:t>Die Beschwerdeführerin übersieht offenbar, dass es beim vorliegenden Streit weder um das Verhältnis zwischen Bahnunternehmung und Strasseninhabern noch um jenes zwischen Strasseninhabern und Eigentümern von Werkleitungen geht, sondern um die Beziehung der Bahnunternehmung als Bauherrin und Enteignerin zu den durch den Bahnbau betroffenen Eigentümern von Werkleitungen. Nun führen zwar diese Werkleitungen auf den hier umstrittenen Strecken durch öffentlichen Grund bzw. öffentliche Strassen. Sie sind jedoch dadurch, dass sie in Strassen verlegt worden sind, nicht zu deren Bestandteilen geworden und nicht ins öffentliche Grundeigentum übergegangen, sondern als Zubehör des jeweiligen Versorgungswerks im Eigentum des Werkinhabers verblieben (vgl. Art. 676 ZGB ; s. a. Art. 37 Abs. 1 FMG sowie § 3 lit. c kStrG a contrario). Die Werkleitungseigentümer nehmen daher gegenüber der Bahnunternehmung die gleiche Stellung ein wie andere Dritte (Private oder Gemeinwesen), in deren dingliche Rechte infolge des Bahnprojekts eingegriffen wird. Im Verhältnis zwischen der Bahnunternehmung und den Werkleitungseigentümern spielt mithin die von der Beschwerdeführerin angerufene kantonale Strassenhoheit keine oder nur eine untergeordnete Rolle.</w:t>
      </w:r>
    </w:p>
    <w:p>
      <w:r>
        <w:rPr>
          <w:b/>
        </w:rPr>
        <w:t>E. 3.2</w:t>
      </w:r>
    </w:p>
    <w:p>
      <w:r>
        <w:t>Nach Art. 6 Abs. 2 EBG wird die Konzession für eine Strassenbahn nur gewährt, wenn die nach kantonalem Recht erforderliche Bewilligung zur Benützung der öffentlichen Strassen erteilt oder zugesichert ist. Diese Bestimmung berührt die Beziehung zwischen den Trägern der Strassenhoheit und der Bahn und betrifft allfällige Drittberechtigte nicht. Zudem umschreibt sie - zusammen mit Art. 6 Abs. 2 EBG - lediglich die Voraussetzungen für die Gewährung einer Konzession. Zur Frage, nach welchem Recht sich der Bahnbau und die damit verbundenen Vorkehren richten, äussert sie sich nicht. Die Sondernorm von Art. 6 Abs. 2 EBG mag, wie im angefochtenen Entscheid angeführt, aus staatspolitischen Gründen aufgestellt worden sein, um die Anwendung des Enteignungsrechts durch Bahnunternehmungen gegenüber öffentlichen Gemeinwesen zu vermeiden (vgl. dazu auch JULIUS OETIKER, Die Eisenbahn-Gesetzgebung des Bundes, Zürich 1913, Bd. I, S. 30 N. 9; ROLF TINNER, Rechtsbeziehungen zwischen Bund und Kantonen im Eisenbahnwesen, Diss. Zürich 1941, S. 166 ff.). Zur Beurteilung der vorliegenden Streitsache trägt sie jedenfalls nichts bei. BGE 131 II 420 S. 425</w:t>
      </w:r>
    </w:p>
    <w:p>
      <w:r>
        <w:rPr>
          <w:b/>
        </w:rPr>
        <w:t>E. 3.3</w:t>
      </w:r>
    </w:p>
    <w:p>
      <w:r>
        <w:t>§ 37 Abs. 1 des zürcherischen Strassengesetzes verpflichtet den Eigentümer einer öffentlichen Strasse, die Verlegung von öffentlichen Verkehrs- und Versorgungsanlagen eines anderen Gemeinwesens oder von öffentliche Aufgaben erfüllenden Unternehmungen zu dulden, sofern die Zweckbestimmung und die technische Anlage der Strasse dies gestatten. Dem Strasseneigentümer sind alle aus solchen Anlagen entstehenden Kosten zu ersetzen und die Strasse ist nach erfolgter Beanspruchung wieder instandzustellen; eine weitere Entschädigung ist nicht geschuldet (§ 37 Abs. 2 kStrG). Die Versorgungsanlagen sind auf Kosten ihres Trägers zu verlegen oder anzupassen, wenn dies ein Strassenprojekt erfordert (§ 37 Abs. 3 kStrG). § 37 kStrG ordnet somit das Verhältnis zwischen den Eigentümern der öffentlichen Strassen und den Inhabern von Versorgungsanlagen. Er verpflichtet die einen zur Duldung von Anlagen auf öffentlichem Grund und verhält die anderen, ihre Leitungen bei strassenbaubedingten Änderungen auf eigene Kosten zu verlegen. Dagegen sagt § 37 kStrG nichts darüber aus, wie vorzugehen sei, wenn nicht ein Strassenbauprojekt sondern das Vorhaben eines Dritten Anlass zur Strassenänderung und zur Entfernung der Leitungen gibt. Untersteht das Bauvorhaben des Dritten wie hier dem Bundesrecht, findet grundsätzlich dieses auf sämtliche Projektbestandteile Anwendung.</w:t>
      </w:r>
    </w:p>
    <w:p>
      <w:r>
        <w:rPr>
          <w:b/>
        </w:rPr>
        <w:t>E. 3.4</w:t>
      </w:r>
    </w:p>
    <w:p>
      <w:r>
        <w:t>Ähnliche Überlegungen gelten hinsichtlich dem in der Beschwerde ergänzend angerufenen Art. 35 FMG . Nach dieser bundesrechtlichen Vorschrift haben die Eigentümer von Boden im Gemeingebrauch den Konzessionärinnen von Fernmeldediensten die Benutzung des Bodens für den Bau und Betrieb von Leitungen zu bewilligen, sofern diese Einrichtungen den Gemeingebrauch nicht beeinträchtigen ( Art. 35 Abs. 1 FMG ). Die Bewilligung ist entschädigungslos, lediglich gegen eine kostendeckende Gebühr, zu erteilen ( Art. 35 Abs. 5 FMG ). Die Konzessionärinnen tragen die Kosten für die Wiederherstellung des ursprünglichen Zustandes und sind gehalten, ihre Leitungen zu verlegen, wenn vom Grundeigentümer eine Benützung des Grundstücks beabsichtigt wird, die sich mit der Leitungsführung nicht verträgt ( Art. 35 Abs. 2 FMG ). Die Einzelheiten, namentlich auch die Voraussetzungen für die Leitungsumlegung, sind vom Bundesrat zu regeln ( Art. 35 Abs. 3 FMG ). BGE 131 II 420 S. 426 Auch diese Bestimmungen legen die Beziehung des Gemeinwesens, welches über Boden im Gemeingebrauch verfügt, zu den Inhaberinnen von Fernmelde-Leitungen fest. Nicht Bezug genommen wird dagegen auf das Verhältnis der Leitungs-Eigentümerinnen zu einem anderen öffentlichen Werk, das gestützt auf eidgenössisches Spezialverwaltungs- und Enteignungsrecht den Boden im Gemeingebrauch ebenfalls in Anspruch nehmen will. Zwar sieht Art. 37 Abs. 3 der Verordnung über die Fernmeldedienste vom 31. Oktober 2001 (FDV; SR 784.101.1) auch eine Verlegung (d.h. Umlegung) von Leitungen "zu Gunsten Dritter" vor. Da es sich jedoch bei Art. 37 Abs. 3 FDV um eine Ausführungsbestimmung zu Art. 35 FMG handelt und dieser die Umlegungspflicht nur gegenüber dem Grundeigentümer statuiert, kann es sich bei solchen Dritten nur um Personen oder Gemeinwesen handeln, die anstelle des Grundeigentümers tätig werden und über keine eigenen Rechtstitel und Zwangsmittel für die Durchsetzung der Leitungsverlegung verfügen. Fraglich ist im Übrigen auch, ob sich die weitere Ausführungsbestimmung von Art. 38 Abs. 1 FDV auf eine genügende gesetzliche Grundlage stützen lasse. Gemäss dieser soll Art. 35 FMG "sinngemäss auch für die kürzest mögliche Querung von Eisenbahngrundstücken mit Fernmeldeleitungen" gelten. Ob und inwiefern sich diese Anordnung mit dem Fernmeldegesetz selbst und vorab mit dem Eisenbahngesetz vereinbaren lasse, braucht hier jedoch nicht geklärt zu werden, da es nicht um die nachträgliche Unter- oder Überquerung von bestehenden Eisenbahnanlagen, sondern um den Bau eines neuen Eisenbahntrassees über bestehenden Werk- und Fernmeldeleitungen geht.</w:t>
      </w:r>
    </w:p>
    <w:p>
      <w:r>
        <w:rPr>
          <w:b/>
        </w:rPr>
        <w:t>E. 3.5</w:t>
      </w:r>
    </w:p>
    <w:p>
      <w:r>
        <w:t>Demnach ist mit der Vorinstanz festzustellen, dass sich die bahnbaubedingte Umlegung der Werkleitungen und die damit zusammenhängende Entschädigungspflicht nach eidgenössischem Eisenbahn- und Enteignungsrecht richten. Die Einsprachen, die von den Werkleitungseigentümerinnen gegen die Umlegungen erhoben worden sind, sind daher vom BAV als Plangenehmigungs- und Einsprachebehörde materiell zu behandeln (vgl. Art. 18 Abs. 2 und Art. 18h Abs. 1 EBG in Verbindung mit Art. 7 Abs. 2, Art. 35 lit. b und Art. 50 des Bundesgesetzes vom 20. Juni 1930 über die Enteignung [EntG; SR 711] ). Eine andere - noch zu prüfende - Frage ist, inwieweit das BAV gemäss Bundesrecht auch über die Umlegungskosten und über die weiteren von den Leitungseigentümerinnen gestellten Entschädigungsansprüche zu entscheiden hat. BGE 131 II 420 S. 427</w:t>
      </w:r>
    </w:p>
    <w:p>
      <w:r>
        <w:rPr>
          <w:b/>
        </w:rPr>
        <w:t>E. 4.1</w:t>
      </w:r>
    </w:p>
    <w:p>
      <w:r>
        <w:t>Bestimmte sich die umstrittene Kostenübernahme- und Entschädigungsfrage allein nach dem Enteignungsgesetz, wäre sie wie folgt zu beantworten: Werden bestehende öffentliche Einrichtungen, wie Wege oder Leitungen, durch die Ausführung oder den Betrieb des Unternehmens des Enteigners in Mitleidenschaft gezogen, so hat dieser nach Art. 7 Abs. 2 EntG alle Vorkehren zu treffen, um deren Fortbenützung sicherzustellen, soweit dies durch das öffentliche Interesse gefordert wird. Über den Umfang der Vorkehren, die im öffentlichen Interesse liegen und für welche das Enteignungsrecht ausgeübt werden darf ( Art. 4 lit. e EntG ), ist von der Einsprachebehörde im Einspracheverfahren zu entscheiden. Dagegen hat die Eidgenössische Schätzungskommission im Anschluss an den Einspracheentscheid darüber zu befinden, ob trotz der Vorkehren des Enteigners ein Schaden entstanden sei und allenfalls wem die neu erstellten Anlagen gehörten und wer für deren Unterhalt aufzukommen habe (vgl. Art. 26 und Art. 64 Abs. 1 lit. c und d EntG ; BGE 104 Ib 348 E. 2; BGE 111 Ib 280 E. 2; BGE 116 Ib 241 E. 3a S. 246; BGE 121 II 436 E. 7 S. 444; BGE 122 II 12 E. 1a S. 14 f.). Obliegt aber dem Enteigner die Wiederherstellung der durch sein Werk beeinträchtigten Leitungen, soweit dies im öffentlichen Interesse liegt, so gehen auch die damit verbundenen Kosten zu seinen Lasten. Von diesem enteignungsrechtlichen Grundsatz könnte nur abgewichen werden, wenn und soweit die Leitungseigentümer durch Sondernormen, die dem Enteignungsgesetz vorgehen, zur Mitfinanzierung des Unternehmens des Enteigners verpflichtet würden. Wie bereits dargelegt (E. 3.3 und 3.4), können weder Art. 35 FMG noch § 37 des zürcherischen Strassengesetzes als Vorschrift zur Unterstützung von Bahnen verstanden werden. Andere Subventionsbestimmungen zugunsten des Bahnbaus enthält das kantonale Recht soweit ersichtlich nicht (vgl. dazu BGE 104 Ib 348 E. 2d S. 353; Entscheid 1A.176/1992 vom 3. Mai 1995, E. 3). Eine von der enteignungsrechtlichen abweichende Lösung könnte sich daher nur aufgrund weiterer eidgenössischer Spezialgesetzgebung, insbesondere des Eisenbahnrechts, ergeben.</w:t>
      </w:r>
    </w:p>
    <w:p>
      <w:r>
        <w:rPr>
          <w:b/>
        </w:rPr>
        <w:t>E. 4.2</w:t>
      </w:r>
    </w:p>
    <w:p>
      <w:r>
        <w:t>Im angefochtenen Entscheid wird zu Recht ausgeführt, dass in den Plangenehmigungsverfahren für den Bahnbau in erster Linie die Spezialvorschriften des Eisenbahngesetzes zum Zuge BGE 131 II 420 S. 428 kämen und das eidgenössische Enteignungsrecht nur subsidiär anzuwenden sei (vgl. Art. 18a EBG ). Als anwendbare Bestimmungen fielen insbesondere Art. 19 und Art. 31 EBG in Betracht.</w:t>
      </w:r>
    </w:p>
    <w:p>
      <w:r>
        <w:rPr>
          <w:b/>
        </w:rPr>
        <w:t>E. 4.2.1</w:t>
      </w:r>
    </w:p>
    <w:p>
      <w:r>
        <w:t>Nach Art. 19 EBG trifft die Bahnunternehmung die Vorkehren, die zur Sicherheit des Baues und Betriebes der Bahn sowie zur Vermeidung der Gefahr für Personen und Sachen notwendig sind. Werden durch Bauarbeiten öffentliche Einrichtungen, wie Strassen und Wege, Leitungen und ähnliche Anlagen betroffen, so sorgt die Bahnunternehmung für deren Fortbenützung, soweit es das öffentliche Interesse erfordert ( Art. 19 Abs. 1 Satz 2 EBG ). Die Bahnunternehmung trägt die Kosten dieser Vorkehren. Kosten für Vorkehren, welche wegen Bauvorhaben oder anderer Bedürfnisse Dritter nötig werden, gehen zu deren Lasten ( Art. 19 Abs. 2 EBG ). Art. 19 Abs. 1 Satz 2 EBG übernimmt somit lediglich die Bestimmung von Art. 7 Abs. 2 EntG , während in Art. 19 Abs. 2 EBG die in Art. 7 EntG vorausgesetzte Kostenpflicht des Enteigners ausdrücklich festgestellt wird. Insofern besteht zwischen den eisenbahnrechtlichen und den enteignungsrechtlichen Bestimmungen keine Diskrepanz. Dass gemäss Art. 40 EBG Streitigkeiten über die Kostentragung für Vorkehren im Sinne von Art. 19 Abs. 2 EBG vom Bundesamt zu beurteilen sind, bedeutet übrigens nach der Rechtsprechung nicht, dass über solche Streitigkeiten notwendigerweise in einem speziellen Verfahren zu befinden sei und nicht im Plangenehmigungsverfahren entschieden werden dürfe (vgl. BGE 117 Ib 111 E. 1a; BGE 127 II 227 E. 1a mit Hinweisen). Die Frage, mit welchen Vorkehren den Bedürfnissen (kostenpflichtiger) Dritter und nicht den öffentlichen Interessen entsprochen werde, kommt ohnehin der Frage gleich, welches der Umfang der unerlässlichen Vorkehren sei, die der Enteigner im öffentlichen Interesse auf eigene Kosten zu ergreifen hat.</w:t>
      </w:r>
    </w:p>
    <w:p>
      <w:r>
        <w:rPr>
          <w:b/>
        </w:rPr>
        <w:t>E. 4.2.2</w:t>
      </w:r>
    </w:p>
    <w:p>
      <w:r>
        <w:t>Art. 31 Abs. 2 EBG sieht für die Kreuzungen zwischen Bahn und (u. a.) Leitungen vor, dass die durch Erstellung einer neuen Kreuzung oder Änderung einer bestehenden Kreuzung entstehenden Kosten für Bau, Unterhalt und Erneuerung sowie für alle Schadensverhütungsmassnahmen zu Lasten des jeweiligen Bauherrn gehen. Die Rekurskommission INUM ist angesichts der ihr vorliegenden Projektpläne und des Verlaufs der Leitungen davon ausgegangen, dass auch diese Bestimmung teilweise anwendbar BGE 131 II 420 S. 429 sei. Ob dies zutreffend oder Art. 31 EBG deshalb nicht einschlägig sei, weil mit den Leitungsumlegungen Kreuzungen gerade vermieden werden sollen, kann offen gelassen werden. Jedenfalls geht auch Art. 31 Abs. 2 EBG für die Änderung von Kreuzungen von der grundsätzlichen Kostentragung durch die Bauherrschaft, hier also durch die Bahnunternehmung, aus. Demnach führt Art. 31 EBG zum gleichen Resultat wie die enteignungsrechtlichen Bestimmungen.</w:t>
      </w:r>
    </w:p>
    <w:p>
      <w:r>
        <w:rPr>
          <w:b/>
        </w:rPr>
        <w:t>E. 4.3</w:t>
      </w:r>
    </w:p>
    <w:p>
      <w:r>
        <w:t>Zusammenfassend kann festgehalten werden, dass die Vorkehren zur Fortbenützung der bestehenden Werkleitungen, so auch deren bahnbaubedingte Neuverlegung, von der Bahnunternehmung zu treffen und grundsätzlich von ihr zu finanzieren sind. Die Kosten für solche Massnahmen können bloss insoweit auf Dritte überwälzt werden, als mit diesen nicht (nur) den öffentlichen Interessen am Fortbestand der Leitungen, sondern (auch) den Bedürfnissen dieser Drittpersonen Rechnung getragen wird. Da die Ersatzvorkehren für die Beeinträchtigung der Leitungen wie gesehen Bestandteil des Projektes der Bahnunternehmung sind (s. a. Urteil 1E.32/1995 vom 28. Dezember 1995), hat im Streitfall das BAV als Einsprachebehörde darüber zu entscheiden, welche einzelnen Vorkehren als im öffentlichen Interesse liegend von der Enteignerin ergriffen werden müssen. Das Bundesamt beurteilt im Plangenehmigungsverfahren ebenfalls, in welchem Umfange die vorgesehenen Vorkehren Bedürfnissen Dritter entsprächen und daher von diesen abzugelten sind. Dagegen wird nicht vom BAV, sondern von der Eidgenössischen Schätzungskommission zu beurteilen sein, ob nach Vornahme der nach Art. 7 Abs. 2 EntG und Art. 19 Abs. 1 EBG zu treffenden Massnahmen immer noch ein Schaden verbleibe, der den Eigentümerinnen der Werkleitungen zu vergüten ist. Ein solcher Schaden kann denn auch nicht ausgeschlossen werden, bloss weil die Durchleitung auf öffentlichem Grund entschädigungslos gestattet worden ist. Wie bereits dargelegt (E. 3.1), richtet sich der Eingriff der Enteignerin nicht nur gegen die konzedierten oder auf andere Weise eingeräumten Durchleitungsrechte, sondern gegen das Eigentum an den Werkleitungen selbst, denen ein gewisser Vermögenswert nicht abgesprochen werden kann (so auch RUDOLF KAPPELER, Rechtsfragen beim Zusammentreffen öffentlicher Werke, Zürich 1969, S. 17). Im Übrigen werden von der Schätzungskommission auch die Vorteile zu berücksichtigen sein, die den Leitungseigentümerinnen aus den Neuanlagen entstehen (vgl. Art. 26 Abs. 1 Satz 2 EntG ). BGE 131 II 420 S. 430 Die Vorinstanz hat demnach in ihren Erwägungen zu Recht festgestellt, es sei Sache der Plangenehmigungsbehörde, über Art und Umfang der Ersatzvorkehren zu entscheiden, während die Schätzungskommission allenfalls noch darüber zu befinden habe, ob trotz der Ersatzvorkehren der Enteignerin ein Schaden entstanden und hierfür Entschädigung zu leisten sei. Die von der Rekurskommission INUM verfügte Rückweisung der Streitsache zu neuem Entscheid an das BAV ist in diesem Sinne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